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2A104F"/>
          <w:sz w:val="40"/>
        </w:rPr>
        <w:t>Engagement-Letter AI Clause</w:t>
      </w:r>
    </w:p>
    <w:p>
      <w:pPr>
        <w:spacing w:before="120" w:after="200"/>
        <w:ind w:left="144"/>
        <w:shd w:val="clear" w:fill="F4EFFF"/>
      </w:pPr>
      <w:r>
        <w:rPr>
          <w:b/>
        </w:rPr>
        <w:t xml:space="preserve">Make it yours. </w:t>
      </w:r>
      <w:r>
        <w:t>Replace [FIRM NAME] and every bracketed item with your firm's details, delete what does not apply, and add what your situation requires. Once you adapt it, this is your firm's document. This is a generic starting point, not legal advice; have your own counsel review it before adopting.</w:t>
      </w:r>
    </w:p>
    <w:p>
      <w:pPr>
        <w:spacing w:before="120" w:after="200"/>
        <w:ind w:left="144"/>
        <w:shd w:val="clear" w:fill="FBF4DF"/>
      </w:pPr>
      <w:r>
        <w:rPr>
          <w:b/>
        </w:rPr>
        <w:t>What this is.</w:t>
      </w:r>
      <w:r>
        <w:t xml:space="preserve"> Drop-in language disclosing that your firm uses vetted technology and third-party service providers (including AI) in performing services. This satisfies the AICPA </w:t>
      </w:r>
      <w:r>
        <w:rPr>
          <w:b/>
        </w:rPr>
        <w:t>inform-the- client</w:t>
      </w:r>
      <w:r>
        <w:t xml:space="preserve"> expectation (ET §1.150.040) and supports the confidentiality interpretation (ET §1.700.040). </w:t>
      </w:r>
      <w:r>
        <w:rPr>
          <w:b/>
        </w:rPr>
        <w:t>What this is NOT.</w:t>
      </w:r>
      <w:r>
        <w:t xml:space="preserve"> It is </w:t>
      </w:r>
      <w:r>
        <w:rPr>
          <w:b/>
        </w:rPr>
        <w:t>not</w:t>
      </w:r>
      <w:r>
        <w:t xml:space="preserve"> a §7216 consent. A general "we may use AI" clause does </w:t>
      </w:r>
      <w:r>
        <w:rPr>
          <w:b/>
        </w:rPr>
        <w:t>not</w:t>
      </w:r>
      <w:r>
        <w:t xml:space="preserve"> meet the format/content rules of Treas. Reg. §301.7216-3 / Rev. Proc. 2013-14 for a 1040-series client. Where an AI use falls outside a §301.7216-2 exception, obtain the </w:t>
      </w:r>
      <w:r>
        <w:rPr>
          <w:b/>
        </w:rPr>
        <w:t>separate §7216 consent</w:t>
      </w:r>
      <w:r>
        <w:t xml:space="preserve"> </w:t>
      </w:r>
      <w:r>
        <w:rPr>
          <w:i/>
        </w:rPr>
        <w:t>before</w:t>
      </w:r>
      <w:r>
        <w:t xml:space="preserve"> the disclosure. Use the </w:t>
      </w:r>
      <w:r>
        <w:rPr>
          <w:b/>
        </w:rPr>
        <w:t>ai-use-checker</w:t>
      </w:r>
      <w:r>
        <w:t xml:space="preserve"> to tell which lane you're in. </w:t>
      </w:r>
      <w:r>
        <w:rPr>
          <w:b/>
        </w:rPr>
        <w:t>Replace every `[BRACKET]`; have counsel review. Not legal advice.</w:t>
      </w:r>
    </w:p>
    <w:p>
      <w:pPr>
        <w:spacing w:before="240" w:after="80"/>
      </w:pPr>
      <w:r>
        <w:rPr>
          <w:b/>
          <w:color w:val="4C1D95"/>
          <w:sz w:val="26"/>
        </w:rPr>
        <w:t>Clause A, Technology &amp; service-provider disclosure (all clients)</w:t>
      </w:r>
    </w:p>
    <w:p>
      <w:pPr>
        <w:spacing w:before="120" w:after="200"/>
        <w:ind w:left="144"/>
        <w:shd w:val="clear" w:fill="FBF4DF"/>
      </w:pPr>
      <w:r>
        <w:rPr>
          <w:b/>
        </w:rPr>
        <w:t>Use of Technology and Service Providers.</w:t>
      </w:r>
      <w:r>
        <w:t xml:space="preserve"> In performing the services under this engagement, </w:t>
      </w:r>
      <w:r>
        <w:rPr>
          <w:rFonts w:ascii="Consolas" w:hAnsi="Consolas"/>
          <w:sz w:val="21"/>
        </w:rPr>
        <w:t>[FIRM NAME]</w:t>
      </w:r>
      <w:r>
        <w:t xml:space="preserve"> uses professional software and may use third-party service providers and technology tools, including artificial-intelligence tools, to assist with tasks such as document handling, data extraction, organization, and drafting. We select providers we believe are capable of maintaining appropriate security, require them by contract to protect confidential information, and remain responsible for the work product. We do not use such tools in a manner that substitutes for our professional judgment, and a </w:t>
      </w:r>
      <w:r>
        <w:rPr>
          <w:rFonts w:ascii="Consolas" w:hAnsi="Consolas"/>
          <w:sz w:val="21"/>
        </w:rPr>
        <w:t>[FIRM NAME]</w:t>
      </w:r>
      <w:r>
        <w:t xml:space="preserve"> professional reviews the results. We protect your information consistent with our Written Information Security Plan and applicable law.</w:t>
      </w:r>
    </w:p>
    <w:p>
      <w:pPr>
        <w:spacing w:after="140"/>
      </w:pPr>
      <w:r>
        <w:rPr>
          <w:i/>
        </w:rPr>
        <w:t>Why it's worded this way: tracks AICPA ET §1.150.040 (notify) + §1.700.040 (confidentiality/contract), SSTS §1.4 (reviewer of record), and the FTC Safeguards Rule (service-provider oversight).</w:t>
      </w:r>
    </w:p>
    <w:p>
      <w:pPr>
        <w:spacing w:before="240" w:after="80"/>
      </w:pPr>
      <w:r>
        <w:rPr>
          <w:b/>
          <w:color w:val="4C1D95"/>
          <w:sz w:val="26"/>
        </w:rPr>
        <w:t>Clause B, §7216 pointer (tax-prep engagements)</w:t>
      </w:r>
    </w:p>
    <w:p>
      <w:pPr>
        <w:spacing w:before="120" w:after="200"/>
        <w:ind w:left="144"/>
        <w:shd w:val="clear" w:fill="FBF4DF"/>
      </w:pPr>
      <w:r>
        <w:rPr>
          <w:b/>
        </w:rPr>
        <w:t>Confidentiality of Tax Return Information.</w:t>
      </w:r>
      <w:r>
        <w:t xml:space="preserve"> Federal law (IRC §7216) restricts how we may use or disclose your tax return information. We will not disclose or use your tax return information for any purpose other than preparing your return unless permitted by law or </w:t>
      </w:r>
      <w:r>
        <w:rPr>
          <w:b/>
        </w:rPr>
        <w:t>authorized by your separate written consent.</w:t>
      </w:r>
      <w:r>
        <w:t xml:space="preserve"> Where a tool or provider would require your consent, we will obtain a compliant written consent from you </w:t>
      </w:r>
      <w:r>
        <w:rPr>
          <w:b/>
        </w:rPr>
        <w:t>before</w:t>
      </w:r>
      <w:r>
        <w:t xml:space="preserve"> any such disclosure or use.</w:t>
      </w:r>
    </w:p>
    <w:p>
      <w:pPr>
        <w:spacing w:before="120" w:after="200"/>
        <w:ind w:left="144"/>
        <w:shd w:val="clear" w:fill="FBF4DF"/>
      </w:pPr>
      <w:r>
        <w:t xml:space="preserve">⚠️ </w:t>
      </w:r>
      <w:r>
        <w:rPr>
          <w:b/>
        </w:rPr>
        <w:t>Drafting note (do not delete until resolved):</w:t>
      </w:r>
      <w:r>
        <w:t xml:space="preserve"> For </w:t>
      </w:r>
      <w:r>
        <w:rPr>
          <w:b/>
        </w:rPr>
        <w:t>non-1040</w:t>
      </w:r>
      <w:r>
        <w:t xml:space="preserve"> clients, a §7216 consent </w:t>
      </w:r>
      <w:r>
        <w:rPr>
          <w:i/>
        </w:rPr>
        <w:t>may</w:t>
      </w:r>
      <w:r>
        <w:t xml:space="preserve"> be embedded in the engagement letter </w:t>
      </w:r>
      <w:r>
        <w:rPr>
          <w:b/>
        </w:rPr>
        <w:t>only if</w:t>
      </w:r>
      <w:r>
        <w:t xml:space="preserve"> it independently satisfies every element of Treas. Reg. §301.7216-3(a)(3)(i) (purpose, specific recipient, data, signature/date, mandatory language). For </w:t>
      </w:r>
      <w:r>
        <w:rPr>
          <w:b/>
        </w:rPr>
        <w:t>1040-series</w:t>
      </w:r>
      <w:r>
        <w:t xml:space="preserve"> clients, use a </w:t>
      </w:r>
      <w:r>
        <w:rPr>
          <w:b/>
        </w:rPr>
        <w:t>separate</w:t>
      </w:r>
      <w:r>
        <w:t xml:space="preserve"> Rev. Proc. 2013-14-compliant consent, &gt; do not rely on this clause as the consent. See </w:t>
      </w:r>
      <w:r>
        <w:rPr>
          <w:b/>
        </w:rPr>
        <w:t>§7216 Consent template</w:t>
      </w:r>
      <w:r>
        <w:t>.</w:t>
      </w:r>
    </w:p>
    <w:p>
      <w:pPr>
        <w:spacing w:before="240" w:after="80"/>
      </w:pPr>
      <w:r>
        <w:rPr>
          <w:b/>
          <w:color w:val="4C1D95"/>
          <w:sz w:val="26"/>
        </w:rPr>
        <w:t>Clause C, Optional: client AI-use tier opt-in</w:t>
      </w:r>
    </w:p>
    <w:p>
      <w:pPr>
        <w:spacing w:before="120" w:after="200"/>
        <w:ind w:left="144"/>
        <w:shd w:val="clear" w:fill="FBF4DF"/>
      </w:pPr>
      <w:r>
        <w:rPr>
          <w:i/>
        </w:rPr>
        <w:t>(Use if you offer clients a choice of AI-use levels, a pattern at least one AI Lab member is already running. Pair the chosen tier with matching §7216 consent language.)</w:t>
      </w:r>
    </w:p>
    <w:p>
      <w:pPr>
        <w:spacing w:before="120" w:after="200"/>
        <w:ind w:left="144"/>
        <w:shd w:val="clear" w:fill="FBF4DF"/>
      </w:pPr>
      <w:r>
        <w:rPr>
          <w:b/>
        </w:rPr>
        <w:t>AI-Use Preference.</w:t>
      </w:r>
      <w:r>
        <w:t xml:space="preserve"> You may choose the level of AI assistance applied to your engagement: ☐ </w:t>
      </w:r>
      <w:r>
        <w:rPr>
          <w:b/>
        </w:rPr>
        <w:t>Standard</w:t>
      </w:r>
      <w:r>
        <w:t xml:space="preserve">, vetted tools for clerical support only (extraction, organization, drafting). ☐ </w:t>
      </w:r>
      <w:r>
        <w:rPr>
          <w:b/>
        </w:rPr>
        <w:t>Enhanced</w:t>
      </w:r>
      <w:r>
        <w:t xml:space="preserve">, also permits </w:t>
      </w:r>
      <w:r>
        <w:rPr>
          <w:rFonts w:ascii="Consolas" w:hAnsi="Consolas"/>
          <w:sz w:val="21"/>
        </w:rPr>
        <w:t>[describe]</w:t>
      </w:r>
      <w:r>
        <w:t xml:space="preserve">, subject to the separate §7216 consent attached. ☐ </w:t>
      </w:r>
      <w:r>
        <w:rPr>
          <w:b/>
        </w:rPr>
        <w:t>None</w:t>
      </w:r>
      <w:r>
        <w:t>, no third-party AI tools applied to your identifiable information. Absent a selection, the Standard level applies.</w:t>
      </w:r>
    </w:p>
    <w:p>
      <w:r>
        <w:t>—</w:t>
      </w:r>
    </w:p>
    <w:p>
      <w:pPr>
        <w:spacing w:before="160"/>
      </w:pPr>
      <w:r>
        <w:rPr>
          <w:i/>
          <w:color w:val="666666"/>
          <w:sz w:val="19"/>
        </w:rPr>
        <w:t>Template provided by The AI Lab for Accountants as an educational starting point. Not legal, tax, or compliance advice. Using it does not by itself make your firm compliant with any law, regulation, or professional standard; that depends on how your firm adapts, implements, and maintains it. Laws and standards change and vary by jurisdiction. Adapt it to your firm and have your own counsel review it before relying on it.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